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E69" w:rsidRPr="005A2A38" w:rsidRDefault="00BE4E69" w:rsidP="00BE4E69">
      <w:pPr>
        <w:spacing w:line="360" w:lineRule="auto"/>
        <w:ind w:left="-90"/>
        <w:rPr>
          <w:rFonts w:ascii="Times New Roman" w:hAnsi="Times New Roman" w:cs="Times New Roman" w:hint="cs"/>
          <w:b/>
        </w:rPr>
      </w:pPr>
      <w:r w:rsidRPr="005A2A38">
        <w:rPr>
          <w:rFonts w:ascii="Times New Roman" w:hAnsi="Times New Roman" w:cs="Times New Roman" w:hint="cs"/>
          <w:b/>
        </w:rPr>
        <w:t>Diana Goesch: The Inner, Outer and Secret Practices</w:t>
      </w:r>
    </w:p>
    <w:p w:rsidR="00BE4E69" w:rsidRPr="005A2A38" w:rsidRDefault="00BE4E69" w:rsidP="00BE4E69">
      <w:pPr>
        <w:pStyle w:val="ListParagraph"/>
        <w:numPr>
          <w:ilvl w:val="2"/>
          <w:numId w:val="1"/>
        </w:numPr>
        <w:spacing w:line="360" w:lineRule="auto"/>
        <w:ind w:left="630"/>
        <w:rPr>
          <w:rFonts w:ascii="Times New Roman" w:hAnsi="Times New Roman" w:cs="Times New Roman" w:hint="cs"/>
        </w:rPr>
      </w:pPr>
      <w:r w:rsidRPr="005A2A38">
        <w:rPr>
          <w:rFonts w:ascii="Times New Roman" w:hAnsi="Times New Roman" w:cs="Times New Roman" w:hint="cs"/>
          <w:b/>
        </w:rPr>
        <w:t>Outer:</w:t>
      </w:r>
      <w:r w:rsidRPr="005A2A38">
        <w:rPr>
          <w:rFonts w:ascii="Times New Roman" w:hAnsi="Times New Roman" w:cs="Times New Roman" w:hint="cs"/>
        </w:rPr>
        <w:t xml:space="preserve"> Making the time regularly</w:t>
      </w:r>
      <w:r w:rsidR="00BA386B">
        <w:rPr>
          <w:rFonts w:ascii="Times New Roman" w:hAnsi="Times New Roman" w:cs="Times New Roman"/>
        </w:rPr>
        <w:t xml:space="preserve"> to write. Sit down and write.</w:t>
      </w:r>
    </w:p>
    <w:p w:rsidR="00BE4E69" w:rsidRPr="005A2A38" w:rsidRDefault="00BE4E69" w:rsidP="00BE4E69">
      <w:pPr>
        <w:pStyle w:val="ListParagraph"/>
        <w:numPr>
          <w:ilvl w:val="2"/>
          <w:numId w:val="1"/>
        </w:numPr>
        <w:spacing w:line="360" w:lineRule="auto"/>
        <w:ind w:left="630"/>
        <w:rPr>
          <w:rFonts w:ascii="Times New Roman" w:hAnsi="Times New Roman" w:cs="Times New Roman" w:hint="cs"/>
        </w:rPr>
      </w:pPr>
      <w:r w:rsidRPr="005A2A38">
        <w:rPr>
          <w:rFonts w:ascii="Times New Roman" w:hAnsi="Times New Roman" w:cs="Times New Roman" w:hint="cs"/>
          <w:b/>
        </w:rPr>
        <w:t>Inner:</w:t>
      </w:r>
      <w:r w:rsidRPr="005A2A38">
        <w:rPr>
          <w:rFonts w:ascii="Times New Roman" w:hAnsi="Times New Roman" w:cs="Times New Roman" w:hint="cs"/>
        </w:rPr>
        <w:t xml:space="preserve"> Knowing</w:t>
      </w:r>
      <w:r w:rsidR="00BA386B">
        <w:rPr>
          <w:rFonts w:ascii="Times New Roman" w:hAnsi="Times New Roman" w:cs="Times New Roman" w:hint="cs"/>
        </w:rPr>
        <w:t xml:space="preserve"> what to do when writing</w:t>
      </w:r>
      <w:r w:rsidR="00BA386B">
        <w:rPr>
          <w:rFonts w:ascii="Times New Roman" w:hAnsi="Times New Roman" w:cs="Times New Roman"/>
        </w:rPr>
        <w:t>: f</w:t>
      </w:r>
      <w:r w:rsidRPr="005A2A38">
        <w:rPr>
          <w:rFonts w:ascii="Times New Roman" w:hAnsi="Times New Roman" w:cs="Times New Roman" w:hint="cs"/>
        </w:rPr>
        <w:t>reewriting strategies</w:t>
      </w:r>
      <w:r w:rsidR="00BA386B">
        <w:rPr>
          <w:rFonts w:ascii="Times New Roman" w:hAnsi="Times New Roman" w:cs="Times New Roman"/>
        </w:rPr>
        <w:t>. Write, write, write.</w:t>
      </w:r>
      <w:r w:rsidRPr="005A2A38">
        <w:rPr>
          <w:rFonts w:ascii="Times New Roman" w:hAnsi="Times New Roman" w:cs="Times New Roman" w:hint="cs"/>
        </w:rPr>
        <w:t xml:space="preserve"> </w:t>
      </w:r>
    </w:p>
    <w:p w:rsidR="00BE4E69" w:rsidRPr="005A2A38" w:rsidRDefault="00BE4E69" w:rsidP="00BE4E69">
      <w:pPr>
        <w:pStyle w:val="ListParagraph"/>
        <w:numPr>
          <w:ilvl w:val="2"/>
          <w:numId w:val="1"/>
        </w:numPr>
        <w:spacing w:line="360" w:lineRule="auto"/>
        <w:ind w:left="630"/>
        <w:rPr>
          <w:rFonts w:ascii="Times New Roman" w:hAnsi="Times New Roman" w:cs="Times New Roman" w:hint="cs"/>
        </w:rPr>
      </w:pPr>
      <w:r w:rsidRPr="005A2A38">
        <w:rPr>
          <w:rFonts w:ascii="Times New Roman" w:hAnsi="Times New Roman" w:cs="Times New Roman" w:hint="cs"/>
          <w:b/>
        </w:rPr>
        <w:t>Secret:</w:t>
      </w:r>
      <w:r w:rsidRPr="005A2A38">
        <w:rPr>
          <w:rFonts w:ascii="Times New Roman" w:hAnsi="Times New Roman" w:cs="Times New Roman" w:hint="cs"/>
        </w:rPr>
        <w:t xml:space="preserve"> Being open to surprise, maintaining a negative capability, following the golden thread until a door opens to the second subject.</w:t>
      </w:r>
    </w:p>
    <w:p w:rsidR="00BE4E69" w:rsidRDefault="00BE4E69" w:rsidP="00BE4E69">
      <w:pPr>
        <w:spacing w:line="360" w:lineRule="auto"/>
        <w:ind w:left="-90"/>
        <w:rPr>
          <w:rFonts w:ascii="Times New Roman" w:hAnsi="Times New Roman" w:cs="Times New Roman"/>
          <w:b/>
        </w:rPr>
      </w:pPr>
    </w:p>
    <w:p w:rsidR="002F1C22" w:rsidRPr="005A2A38" w:rsidRDefault="002F1C22" w:rsidP="002F1C22">
      <w:pPr>
        <w:shd w:val="clear" w:color="auto" w:fill="FFFFFF"/>
        <w:spacing w:line="360" w:lineRule="auto"/>
        <w:outlineLvl w:val="0"/>
        <w:rPr>
          <w:rFonts w:ascii="Times New Roman" w:eastAsia="Times New Roman" w:hAnsi="Times New Roman" w:cs="Times New Roman" w:hint="cs"/>
          <w:b/>
          <w:color w:val="000000"/>
          <w:kern w:val="36"/>
        </w:rPr>
      </w:pPr>
      <w:r w:rsidRPr="005A2A38">
        <w:rPr>
          <w:rFonts w:ascii="Times New Roman" w:eastAsia="Times New Roman" w:hAnsi="Times New Roman" w:cs="Times New Roman" w:hint="cs"/>
          <w:b/>
          <w:color w:val="000000"/>
          <w:kern w:val="36"/>
        </w:rPr>
        <w:t xml:space="preserve">William Stafford and the </w:t>
      </w:r>
      <w:r w:rsidR="00E51C6F" w:rsidRPr="005A2A38">
        <w:rPr>
          <w:rFonts w:ascii="Times New Roman" w:eastAsia="Times New Roman" w:hAnsi="Times New Roman" w:cs="Times New Roman" w:hint="cs"/>
          <w:b/>
          <w:color w:val="000000"/>
          <w:kern w:val="36"/>
        </w:rPr>
        <w:t>Golden T</w:t>
      </w:r>
      <w:r w:rsidRPr="005A2A38">
        <w:rPr>
          <w:rFonts w:ascii="Times New Roman" w:eastAsia="Times New Roman" w:hAnsi="Times New Roman" w:cs="Times New Roman" w:hint="cs"/>
          <w:b/>
          <w:color w:val="000000"/>
          <w:kern w:val="36"/>
        </w:rPr>
        <w:t>hread.</w:t>
      </w:r>
    </w:p>
    <w:p w:rsidR="00E51C6F" w:rsidRPr="005A2A38" w:rsidRDefault="00E51C6F" w:rsidP="00E51C6F">
      <w:pPr>
        <w:shd w:val="clear" w:color="auto" w:fill="FFFFFF"/>
        <w:spacing w:line="360" w:lineRule="auto"/>
        <w:ind w:firstLine="720"/>
        <w:outlineLvl w:val="0"/>
        <w:rPr>
          <w:rFonts w:ascii="Times New Roman" w:eastAsia="Times New Roman" w:hAnsi="Times New Roman" w:cs="Times New Roman" w:hint="cs"/>
          <w:i/>
          <w:color w:val="000000"/>
          <w:kern w:val="36"/>
        </w:rPr>
      </w:pPr>
      <w:r w:rsidRPr="005A2A38">
        <w:rPr>
          <w:rFonts w:ascii="Times New Roman" w:eastAsia="Times New Roman" w:hAnsi="Times New Roman" w:cs="Times New Roman" w:hint="cs"/>
          <w:i/>
          <w:color w:val="000000"/>
          <w:kern w:val="36"/>
        </w:rPr>
        <w:t>from Robert Bly’s introduction to Stafford’s Selected Poems</w:t>
      </w:r>
    </w:p>
    <w:p w:rsidR="002F1C22" w:rsidRPr="005A2A38" w:rsidRDefault="002F1C22" w:rsidP="002F1C22">
      <w:pPr>
        <w:spacing w:line="360" w:lineRule="auto"/>
        <w:rPr>
          <w:rFonts w:ascii="Times New Roman" w:eastAsia="Times New Roman" w:hAnsi="Times New Roman" w:cs="Times New Roman" w:hint="cs"/>
          <w:color w:val="000000"/>
          <w:shd w:val="clear" w:color="auto" w:fill="FFFFFF"/>
        </w:rPr>
      </w:pPr>
    </w:p>
    <w:p w:rsidR="002F1C22" w:rsidRPr="005A2A38" w:rsidRDefault="002F1C22" w:rsidP="002F1C22">
      <w:pPr>
        <w:spacing w:line="360" w:lineRule="auto"/>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 xml:space="preserve">One of [Stafford’s] most amazing gifts to poetry is his theme of the golden thread. He believes that whenever you set a detail down in language, it becomes the end of a thread ... and every detail - the sound of the lawn mower, the memory of your father's hands, a crack you once heard in lake ice, the jogger hurtling herself past your window - will lead you to amazing riches. </w:t>
      </w:r>
    </w:p>
    <w:p w:rsidR="002F1C22" w:rsidRPr="005A2A38" w:rsidRDefault="002F1C22" w:rsidP="002F1C22">
      <w:pPr>
        <w:spacing w:line="360" w:lineRule="auto"/>
        <w:ind w:left="630"/>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William Blake said, </w:t>
      </w:r>
      <w:r w:rsidRPr="005A2A38">
        <w:rPr>
          <w:rFonts w:ascii="Times New Roman" w:eastAsia="Times New Roman" w:hAnsi="Times New Roman" w:cs="Times New Roman" w:hint="cs"/>
          <w:color w:val="000000"/>
        </w:rPr>
        <w:br/>
      </w:r>
      <w:r w:rsidRPr="005A2A38">
        <w:rPr>
          <w:rFonts w:ascii="Times New Roman" w:eastAsia="Times New Roman" w:hAnsi="Times New Roman" w:cs="Times New Roman" w:hint="cs"/>
          <w:color w:val="000000"/>
        </w:rPr>
        <w:br/>
      </w:r>
      <w:r w:rsidRPr="005A2A38">
        <w:rPr>
          <w:rFonts w:ascii="Times New Roman" w:eastAsia="Times New Roman" w:hAnsi="Times New Roman" w:cs="Times New Roman" w:hint="cs"/>
          <w:color w:val="000000"/>
          <w:shd w:val="clear" w:color="auto" w:fill="FFFFFF"/>
        </w:rPr>
        <w:t xml:space="preserve">I give you the end of a golden string, </w:t>
      </w:r>
    </w:p>
    <w:p w:rsidR="002F1C22" w:rsidRPr="005A2A38" w:rsidRDefault="002F1C22" w:rsidP="002F1C22">
      <w:pPr>
        <w:spacing w:line="360" w:lineRule="auto"/>
        <w:ind w:left="630"/>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 xml:space="preserve">Only wind it into a ball </w:t>
      </w:r>
    </w:p>
    <w:p w:rsidR="002F1C22" w:rsidRPr="005A2A38" w:rsidRDefault="002F1C22" w:rsidP="002F1C22">
      <w:pPr>
        <w:spacing w:line="360" w:lineRule="auto"/>
        <w:ind w:left="630"/>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 xml:space="preserve">It will lead you in at Heaven's gate </w:t>
      </w:r>
    </w:p>
    <w:p w:rsidR="002F1C22" w:rsidRPr="005A2A38" w:rsidRDefault="002F1C22" w:rsidP="002F1C22">
      <w:pPr>
        <w:spacing w:line="360" w:lineRule="auto"/>
        <w:ind w:left="630"/>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Built in Jerusalem's wall </w:t>
      </w:r>
    </w:p>
    <w:p w:rsidR="002F1C22" w:rsidRPr="005A2A38" w:rsidRDefault="002F1C22" w:rsidP="002F1C22">
      <w:pPr>
        <w:spacing w:line="360" w:lineRule="auto"/>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rPr>
        <w:br/>
      </w:r>
      <w:r w:rsidRPr="005A2A38">
        <w:rPr>
          <w:rFonts w:ascii="Times New Roman" w:eastAsia="Times New Roman" w:hAnsi="Times New Roman" w:cs="Times New Roman" w:hint="cs"/>
          <w:color w:val="000000"/>
          <w:shd w:val="clear" w:color="auto" w:fill="FFFFFF"/>
        </w:rPr>
        <w:t>I asked Stafford one day, "Do you believe that every golden thread will lead us through Jerusalem's wall, or do you love particular threads? " He replied, "No, every thread." In "Views on the Author's Vocation" (1978), he said, "Any little impulse is accepted, and enhanced.... The stance to take, reading or writing, is neutral, ready, susceptible to now.... Only the golden string knows where it is going, and the role for a writer or reader is one of following, not imposing." </w:t>
      </w:r>
    </w:p>
    <w:p w:rsidR="00E51C6F" w:rsidRPr="005A2A38" w:rsidRDefault="00E51C6F" w:rsidP="002F1C22">
      <w:pPr>
        <w:spacing w:line="360" w:lineRule="auto"/>
        <w:rPr>
          <w:rFonts w:ascii="Times New Roman" w:eastAsia="Times New Roman" w:hAnsi="Times New Roman" w:cs="Times New Roman" w:hint="cs"/>
          <w:color w:val="000000"/>
          <w:shd w:val="clear" w:color="auto" w:fill="FFFFFF"/>
        </w:rPr>
      </w:pPr>
    </w:p>
    <w:p w:rsidR="00E51C6F" w:rsidRPr="005A2A38" w:rsidRDefault="00E51C6F" w:rsidP="00E51C6F">
      <w:pPr>
        <w:spacing w:line="360" w:lineRule="auto"/>
        <w:rPr>
          <w:rFonts w:ascii="Times New Roman" w:eastAsia="Times New Roman" w:hAnsi="Times New Roman" w:cs="Times New Roman" w:hint="cs"/>
          <w:color w:val="000000"/>
          <w:shd w:val="clear" w:color="auto" w:fill="FFFFFF"/>
        </w:rPr>
      </w:pPr>
      <w:r w:rsidRPr="005A2A38">
        <w:rPr>
          <w:rFonts w:ascii="Times New Roman" w:eastAsia="Times New Roman" w:hAnsi="Times New Roman" w:cs="Times New Roman" w:hint="cs"/>
          <w:color w:val="000000"/>
          <w:shd w:val="clear" w:color="auto" w:fill="FFFFFF"/>
        </w:rPr>
        <w:t>Stafford remarked, however, that "purposeful writers" may pull too hard. One has to be careful not to break the thread. </w:t>
      </w:r>
    </w:p>
    <w:p w:rsidR="00E51C6F" w:rsidRPr="005A2A38" w:rsidRDefault="00E51C6F" w:rsidP="002F1C22">
      <w:pPr>
        <w:spacing w:line="360" w:lineRule="auto"/>
        <w:rPr>
          <w:rFonts w:ascii="Times New Roman" w:eastAsia="Times New Roman" w:hAnsi="Times New Roman" w:cs="Times New Roman" w:hint="cs"/>
          <w:color w:val="000000"/>
          <w:shd w:val="clear" w:color="auto" w:fill="FFFFFF"/>
        </w:rPr>
      </w:pPr>
    </w:p>
    <w:p w:rsidR="005A2A38" w:rsidRPr="005A2A38" w:rsidRDefault="005A2A38" w:rsidP="005A2A38">
      <w:pPr>
        <w:spacing w:line="360" w:lineRule="auto"/>
        <w:ind w:left="-90"/>
        <w:rPr>
          <w:rFonts w:ascii="Times New Roman" w:hAnsi="Times New Roman" w:cs="Times New Roman" w:hint="cs"/>
        </w:rPr>
      </w:pPr>
      <w:r>
        <w:rPr>
          <w:rFonts w:ascii="Times New Roman" w:hAnsi="Times New Roman" w:cs="Times New Roman"/>
          <w:b/>
        </w:rPr>
        <w:t xml:space="preserve">John Keats’ </w:t>
      </w:r>
      <w:r w:rsidR="00DA2A72">
        <w:rPr>
          <w:rFonts w:ascii="Times New Roman" w:hAnsi="Times New Roman" w:cs="Times New Roman" w:hint="cs"/>
          <w:b/>
        </w:rPr>
        <w:t xml:space="preserve">Negative </w:t>
      </w:r>
      <w:r w:rsidR="00DA2A72">
        <w:rPr>
          <w:rFonts w:ascii="Times New Roman" w:hAnsi="Times New Roman" w:cs="Times New Roman"/>
          <w:b/>
        </w:rPr>
        <w:t>C</w:t>
      </w:r>
      <w:bookmarkStart w:id="0" w:name="_GoBack"/>
      <w:bookmarkEnd w:id="0"/>
      <w:r w:rsidRPr="005A2A38">
        <w:rPr>
          <w:rFonts w:ascii="Times New Roman" w:hAnsi="Times New Roman" w:cs="Times New Roman" w:hint="cs"/>
          <w:b/>
        </w:rPr>
        <w:t>apability</w:t>
      </w:r>
      <w:r w:rsidRPr="005A2A38">
        <w:rPr>
          <w:rFonts w:ascii="Times New Roman" w:hAnsi="Times New Roman" w:cs="Times New Roman" w:hint="cs"/>
        </w:rPr>
        <w:t xml:space="preserve"> is a writer's ability, “which Shakespeare possessed so enormously,” to accept “uncertainties, mysteries, doubts, without any irritable reaching after fact and reason.” </w:t>
      </w:r>
    </w:p>
    <w:sectPr w:rsidR="005A2A38" w:rsidRPr="005A2A38" w:rsidSect="005A2A3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2709"/>
    <w:multiLevelType w:val="hybridMultilevel"/>
    <w:tmpl w:val="65E0B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22"/>
    <w:rsid w:val="002F1C22"/>
    <w:rsid w:val="005320A7"/>
    <w:rsid w:val="005A2A38"/>
    <w:rsid w:val="009C53EC"/>
    <w:rsid w:val="00BA386B"/>
    <w:rsid w:val="00BE4E69"/>
    <w:rsid w:val="00DA2A72"/>
    <w:rsid w:val="00E5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542D2"/>
  <w15:chartTrackingRefBased/>
  <w15:docId w15:val="{0B8AA3CA-1551-8D45-ABF7-F451C8DC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F1C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C2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A2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0680">
      <w:bodyDiv w:val="1"/>
      <w:marLeft w:val="0"/>
      <w:marRight w:val="0"/>
      <w:marTop w:val="0"/>
      <w:marBottom w:val="0"/>
      <w:divBdr>
        <w:top w:val="none" w:sz="0" w:space="0" w:color="auto"/>
        <w:left w:val="none" w:sz="0" w:space="0" w:color="auto"/>
        <w:bottom w:val="none" w:sz="0" w:space="0" w:color="auto"/>
        <w:right w:val="none" w:sz="0" w:space="0" w:color="auto"/>
      </w:divBdr>
    </w:div>
    <w:div w:id="1101728453">
      <w:bodyDiv w:val="1"/>
      <w:marLeft w:val="0"/>
      <w:marRight w:val="0"/>
      <w:marTop w:val="0"/>
      <w:marBottom w:val="0"/>
      <w:divBdr>
        <w:top w:val="none" w:sz="0" w:space="0" w:color="auto"/>
        <w:left w:val="none" w:sz="0" w:space="0" w:color="auto"/>
        <w:bottom w:val="none" w:sz="0" w:space="0" w:color="auto"/>
        <w:right w:val="none" w:sz="0" w:space="0" w:color="auto"/>
      </w:divBdr>
    </w:div>
    <w:div w:id="1336230038">
      <w:bodyDiv w:val="1"/>
      <w:marLeft w:val="0"/>
      <w:marRight w:val="0"/>
      <w:marTop w:val="0"/>
      <w:marBottom w:val="0"/>
      <w:divBdr>
        <w:top w:val="none" w:sz="0" w:space="0" w:color="auto"/>
        <w:left w:val="none" w:sz="0" w:space="0" w:color="auto"/>
        <w:bottom w:val="none" w:sz="0" w:space="0" w:color="auto"/>
        <w:right w:val="none" w:sz="0" w:space="0" w:color="auto"/>
      </w:divBdr>
    </w:div>
    <w:div w:id="19255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2018-10-18T12:39:00Z</cp:lastPrinted>
  <dcterms:created xsi:type="dcterms:W3CDTF">2018-10-17T19:27:00Z</dcterms:created>
  <dcterms:modified xsi:type="dcterms:W3CDTF">2018-10-18T12:41:00Z</dcterms:modified>
</cp:coreProperties>
</file>